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2" w:rsidRPr="00484A2D" w:rsidRDefault="00551012" w:rsidP="00484A2D">
      <w:pPr>
        <w:spacing w:line="360" w:lineRule="auto"/>
        <w:rPr>
          <w:rFonts w:asciiTheme="majorHAnsi" w:hAnsiTheme="majorHAnsi" w:cs="Arial"/>
          <w:color w:val="595959" w:themeColor="text1" w:themeTint="A6"/>
          <w:lang w:val="en-US"/>
        </w:rPr>
      </w:pPr>
      <w:bookmarkStart w:id="0" w:name="_GoBack"/>
      <w:bookmarkEnd w:id="0"/>
    </w:p>
    <w:p w:rsidR="00551012" w:rsidRPr="00551012" w:rsidRDefault="00551012" w:rsidP="00551012">
      <w:pPr>
        <w:jc w:val="both"/>
        <w:rPr>
          <w:rFonts w:asciiTheme="minorHAnsi" w:hAnsiTheme="minorHAnsi" w:cs="Arial"/>
          <w:color w:val="595959" w:themeColor="text1" w:themeTint="A6"/>
        </w:rPr>
      </w:pPr>
      <w:r w:rsidRPr="00551012">
        <w:rPr>
          <w:rFonts w:asciiTheme="minorHAnsi" w:hAnsiTheme="minorHAnsi"/>
          <w:noProof/>
          <w:color w:val="595959" w:themeColor="text1" w:themeTint="A6"/>
          <w:lang w:val="en-US"/>
        </w:rPr>
        <w:drawing>
          <wp:anchor distT="0" distB="0" distL="114300" distR="114300" simplePos="0" relativeHeight="251658240" behindDoc="0" locked="0" layoutInCell="1" allowOverlap="1" wp14:anchorId="7C0672AA" wp14:editId="1E69DC05">
            <wp:simplePos x="0" y="0"/>
            <wp:positionH relativeFrom="column">
              <wp:posOffset>320040</wp:posOffset>
            </wp:positionH>
            <wp:positionV relativeFrom="paragraph">
              <wp:posOffset>12700</wp:posOffset>
            </wp:positionV>
            <wp:extent cx="1190625" cy="1475105"/>
            <wp:effectExtent l="0" t="0" r="9525" b="0"/>
            <wp:wrapSquare wrapText="right"/>
            <wp:docPr id="1" name="Рисунок 1" descr="corn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e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012">
        <w:rPr>
          <w:rFonts w:asciiTheme="minorHAnsi" w:hAnsiTheme="minorHAnsi" w:cs="Arial"/>
          <w:color w:val="595959" w:themeColor="text1" w:themeTint="A6"/>
        </w:rPr>
        <w:t xml:space="preserve">Директор программы: Профессор </w:t>
      </w:r>
      <w:r w:rsidRPr="00551012">
        <w:rPr>
          <w:rFonts w:asciiTheme="minorHAnsi" w:hAnsiTheme="minorHAnsi" w:cs="Arial"/>
          <w:b/>
          <w:color w:val="595959" w:themeColor="text1" w:themeTint="A6"/>
        </w:rPr>
        <w:t>Оливер Корнели</w:t>
      </w:r>
      <w:r w:rsidRPr="00551012">
        <w:rPr>
          <w:rFonts w:asciiTheme="minorHAnsi" w:hAnsiTheme="minorHAnsi" w:cs="Arial"/>
          <w:color w:val="595959" w:themeColor="text1" w:themeTint="A6"/>
        </w:rPr>
        <w:t>,</w:t>
      </w:r>
    </w:p>
    <w:p w:rsidR="00551012" w:rsidRPr="00551012" w:rsidRDefault="00551012" w:rsidP="00551012">
      <w:pPr>
        <w:ind w:right="480"/>
        <w:rPr>
          <w:rFonts w:asciiTheme="minorHAnsi" w:hAnsiTheme="minorHAnsi" w:cs="Arial"/>
          <w:color w:val="595959" w:themeColor="text1" w:themeTint="A6"/>
        </w:rPr>
      </w:pPr>
      <w:r w:rsidRPr="00551012">
        <w:rPr>
          <w:rFonts w:asciiTheme="minorHAnsi" w:hAnsiTheme="minorHAnsi" w:cs="Arial"/>
          <w:color w:val="595959" w:themeColor="text1" w:themeTint="A6"/>
        </w:rPr>
        <w:t xml:space="preserve">Руководитель </w:t>
      </w:r>
      <w:r>
        <w:rPr>
          <w:rFonts w:asciiTheme="minorHAnsi" w:hAnsiTheme="minorHAnsi" w:cs="Arial"/>
          <w:color w:val="595959" w:themeColor="text1" w:themeTint="A6"/>
        </w:rPr>
        <w:t>центра клинических исследований</w:t>
      </w:r>
      <w:r w:rsidRPr="00551012">
        <w:rPr>
          <w:rFonts w:asciiTheme="minorHAnsi" w:hAnsiTheme="minorHAnsi" w:cs="Arial"/>
          <w:color w:val="595959" w:themeColor="text1" w:themeTint="A6"/>
        </w:rPr>
        <w:t xml:space="preserve"> Университет</w:t>
      </w:r>
      <w:r>
        <w:rPr>
          <w:rFonts w:asciiTheme="minorHAnsi" w:hAnsiTheme="minorHAnsi" w:cs="Arial"/>
          <w:color w:val="595959" w:themeColor="text1" w:themeTint="A6"/>
        </w:rPr>
        <w:t>а</w:t>
      </w:r>
      <w:r w:rsidRPr="00551012">
        <w:rPr>
          <w:rFonts w:asciiTheme="minorHAnsi" w:hAnsiTheme="minorHAnsi" w:cs="Arial"/>
          <w:color w:val="595959" w:themeColor="text1" w:themeTint="A6"/>
        </w:rPr>
        <w:t xml:space="preserve"> г. Кельна, Германия      </w:t>
      </w:r>
    </w:p>
    <w:p w:rsidR="00551012" w:rsidRPr="00551012" w:rsidRDefault="00551012" w:rsidP="00551012">
      <w:pPr>
        <w:spacing w:line="360" w:lineRule="auto"/>
        <w:jc w:val="center"/>
        <w:outlineLvl w:val="0"/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</w:pPr>
    </w:p>
    <w:p w:rsidR="00551012" w:rsidRPr="00551012" w:rsidRDefault="00551012" w:rsidP="00551012">
      <w:pPr>
        <w:spacing w:line="360" w:lineRule="auto"/>
        <w:jc w:val="center"/>
        <w:outlineLvl w:val="0"/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</w:pPr>
    </w:p>
    <w:p w:rsidR="00551012" w:rsidRPr="008F2618" w:rsidRDefault="003F4312" w:rsidP="003F4312">
      <w:pPr>
        <w:spacing w:line="360" w:lineRule="auto"/>
        <w:outlineLvl w:val="0"/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 w:cs="Tahoma"/>
          <w:b/>
          <w:color w:val="7F7F7F" w:themeColor="text1" w:themeTint="80"/>
          <w:sz w:val="22"/>
          <w:szCs w:val="22"/>
        </w:rPr>
        <w:t xml:space="preserve">                            </w:t>
      </w:r>
      <w:proofErr w:type="spellStart"/>
      <w:r w:rsidR="00551012" w:rsidRPr="008F2618"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  <w:t>Hematology</w:t>
      </w:r>
      <w:proofErr w:type="spellEnd"/>
      <w:r w:rsidR="00551012" w:rsidRPr="008F2618"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  <w:t xml:space="preserve">/Oncology </w:t>
      </w:r>
      <w:proofErr w:type="spellStart"/>
      <w:r w:rsidR="00551012" w:rsidRPr="008F2618"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  <w:t>Preceptorship</w:t>
      </w:r>
      <w:proofErr w:type="spellEnd"/>
      <w:r w:rsidR="00551012" w:rsidRPr="008F2618"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  <w:t xml:space="preserve"> Programme</w:t>
      </w:r>
    </w:p>
    <w:p w:rsidR="00551012" w:rsidRPr="008F2618" w:rsidRDefault="00551012" w:rsidP="00551012">
      <w:pPr>
        <w:spacing w:line="360" w:lineRule="auto"/>
        <w:jc w:val="center"/>
        <w:outlineLvl w:val="0"/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</w:pPr>
      <w:proofErr w:type="spellStart"/>
      <w:r w:rsidRPr="008F2618"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  <w:t>Oratorium</w:t>
      </w:r>
      <w:proofErr w:type="spellEnd"/>
      <w:r w:rsidRPr="008F2618">
        <w:rPr>
          <w:rFonts w:asciiTheme="minorHAnsi" w:hAnsiTheme="minorHAnsi" w:cs="Tahoma"/>
          <w:b/>
          <w:color w:val="595959" w:themeColor="text1" w:themeTint="A6"/>
          <w:sz w:val="22"/>
          <w:szCs w:val="22"/>
          <w:lang w:val="en-GB"/>
        </w:rPr>
        <w:t>, Building 42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7308"/>
        <w:gridCol w:w="1559"/>
      </w:tblGrid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  <w:lang w:val="en-GB"/>
              </w:rPr>
              <w:t>Presenter</w:t>
            </w:r>
          </w:p>
        </w:tc>
      </w:tr>
      <w:tr w:rsidR="008F2618" w:rsidRPr="008F2618" w:rsidTr="003F4312">
        <w:tc>
          <w:tcPr>
            <w:tcW w:w="1056" w:type="dxa"/>
            <w:tcBorders>
              <w:bottom w:val="single" w:sz="4" w:space="0" w:color="000000"/>
            </w:tcBorders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  <w:tc>
          <w:tcPr>
            <w:tcW w:w="7308" w:type="dxa"/>
            <w:tcBorders>
              <w:bottom w:val="single" w:sz="4" w:space="0" w:color="000000"/>
            </w:tcBorders>
          </w:tcPr>
          <w:p w:rsidR="00551012" w:rsidRPr="006A2614" w:rsidRDefault="00551012" w:rsidP="00BA0A24">
            <w:pPr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</w:rPr>
            </w:pPr>
            <w:r w:rsidRPr="008F2618"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  <w:lang w:val="en-GB"/>
              </w:rPr>
              <w:t>Day 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51012" w:rsidRPr="008F2618" w:rsidRDefault="00551012" w:rsidP="00BA0A24">
            <w:pPr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08:00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Introduction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Cornely</w:t>
            </w:r>
            <w:proofErr w:type="spellEnd"/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08:15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Lecture 1 - Risk factors and epidemiology of invasive fungal infections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Cornely</w:t>
            </w:r>
            <w:proofErr w:type="spellEnd"/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Lecture 2 - Discussing real life cases using audience response system (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KeyPad</w:t>
            </w:r>
            <w:proofErr w:type="spellEnd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K.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Wahlers</w:t>
            </w:r>
            <w:proofErr w:type="spellEnd"/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09:40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1" w:name="OLE_LINK3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Lecture 3 –Treatment strategies for invasive fungal infections; when to start and when stop antifungals</w:t>
            </w:r>
            <w:bookmarkEnd w:id="1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K.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Wahlers</w:t>
            </w:r>
            <w:proofErr w:type="spellEnd"/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10:20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10:40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2" w:name="OLE_LINK4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Hospital/Ward rounds (two groups)</w:t>
            </w:r>
            <w:bookmarkEnd w:id="2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</w:rPr>
              <w:t>Cornely</w:t>
            </w:r>
            <w:proofErr w:type="spellEnd"/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</w:rPr>
              <w:t xml:space="preserve">K.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</w:rPr>
              <w:t>Wahlers</w:t>
            </w:r>
            <w:proofErr w:type="spellEnd"/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</w:rPr>
            </w:pP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12:30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13:20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3" w:name="OLE_LINK5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Lecture 4 - The evolving role of primary and secondary antifungal prophylaxis </w:t>
            </w:r>
            <w:bookmarkEnd w:id="3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Cornely</w:t>
            </w:r>
            <w:proofErr w:type="spellEnd"/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14:20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4" w:name="OLE_LINK7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Lecture 5 -  Current radiographic and microbiological diagnosis of invasive fungal infections</w:t>
            </w:r>
            <w:bookmarkEnd w:id="4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 H. Seifert</w:t>
            </w: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15:00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3D5930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15:20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5" w:name="OLE_LINK8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Case studies or research presentations</w:t>
            </w:r>
            <w:bookmarkEnd w:id="5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Preceptees</w:t>
            </w:r>
            <w:proofErr w:type="spellEnd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 and group;</w:t>
            </w:r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Cornely</w:t>
            </w:r>
            <w:proofErr w:type="spellEnd"/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H. Seifert</w:t>
            </w: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17:00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Close and feedback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  <w:tc>
          <w:tcPr>
            <w:tcW w:w="7308" w:type="dxa"/>
          </w:tcPr>
          <w:p w:rsidR="00551012" w:rsidRPr="006A2614" w:rsidRDefault="00551012" w:rsidP="00BA0A24">
            <w:pPr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</w:rPr>
            </w:pPr>
            <w:r w:rsidRPr="008F2618">
              <w:rPr>
                <w:rFonts w:asciiTheme="minorHAnsi" w:hAnsiTheme="minorHAnsi" w:cs="Tahoma"/>
                <w:b/>
                <w:color w:val="595959" w:themeColor="text1" w:themeTint="A6"/>
                <w:sz w:val="22"/>
                <w:szCs w:val="22"/>
                <w:lang w:val="en-GB"/>
              </w:rPr>
              <w:t>Day 2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08:15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6" w:name="OLE_LINK9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Lecture 6 - Emotion control: Rational approaches for diagnosing and treating invasive fungal</w:t>
            </w:r>
            <w:r w:rsidRPr="008F2618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 xml:space="preserve"> diseases</w:t>
            </w:r>
            <w:bookmarkEnd w:id="6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L.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Biehl</w:t>
            </w:r>
            <w:proofErr w:type="spellEnd"/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09:15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Lecture 7 – Antifungal choices today, and their ideal use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L.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Biehl</w:t>
            </w:r>
            <w:proofErr w:type="spellEnd"/>
          </w:p>
        </w:tc>
      </w:tr>
      <w:tr w:rsidR="008F2618" w:rsidRPr="003D5930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09:45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7" w:name="OLE_LINK10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Case studies or research presentations</w:t>
            </w:r>
            <w:bookmarkEnd w:id="7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Preceptees</w:t>
            </w:r>
            <w:proofErr w:type="spellEnd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 and group;</w:t>
            </w:r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Cornely</w:t>
            </w:r>
            <w:proofErr w:type="spellEnd"/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H. Seifert</w:t>
            </w: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10:50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8" w:name="OLE_LINK11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Lecture 8 – The new ESCMID Candida Guideline</w:t>
            </w:r>
            <w:bookmarkEnd w:id="8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Cornely</w:t>
            </w:r>
            <w:proofErr w:type="spellEnd"/>
          </w:p>
        </w:tc>
      </w:tr>
      <w:tr w:rsidR="008F2618" w:rsidRPr="003D5930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11:30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Case studies or research presentations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Preceptees</w:t>
            </w:r>
            <w:proofErr w:type="spellEnd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 and group;</w:t>
            </w:r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Cornely</w:t>
            </w:r>
            <w:proofErr w:type="spellEnd"/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H. Seifert</w:t>
            </w: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12:00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8F2618" w:rsidRPr="003D5930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13:00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bookmarkStart w:id="9" w:name="OLE_LINK12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Hospital/Ward rounds (two groups)</w:t>
            </w:r>
            <w:bookmarkEnd w:id="9"/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de-DE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de-DE"/>
              </w:rPr>
              <w:t xml:space="preserve">O. </w:t>
            </w:r>
            <w:proofErr w:type="spellStart"/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de-DE"/>
              </w:rPr>
              <w:t>Cornely</w:t>
            </w:r>
            <w:proofErr w:type="spellEnd"/>
          </w:p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de-DE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de-DE"/>
              </w:rPr>
              <w:t>K. Wahlers, L. Biehl</w:t>
            </w:r>
          </w:p>
        </w:tc>
      </w:tr>
      <w:tr w:rsidR="008F2618" w:rsidRPr="008F2618" w:rsidTr="003F4312">
        <w:tc>
          <w:tcPr>
            <w:tcW w:w="1056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  <w:t>14:30</w:t>
            </w:r>
          </w:p>
        </w:tc>
        <w:tc>
          <w:tcPr>
            <w:tcW w:w="7308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</w:pPr>
            <w:r w:rsidRPr="008F2618">
              <w:rPr>
                <w:rFonts w:asciiTheme="minorHAnsi" w:hAnsiTheme="minorHAnsi" w:cs="Tahoma"/>
                <w:i/>
                <w:color w:val="595959" w:themeColor="text1" w:themeTint="A6"/>
                <w:sz w:val="22"/>
                <w:szCs w:val="22"/>
                <w:lang w:val="en-GB"/>
              </w:rPr>
              <w:t>Closure</w:t>
            </w:r>
          </w:p>
        </w:tc>
        <w:tc>
          <w:tcPr>
            <w:tcW w:w="1559" w:type="dxa"/>
          </w:tcPr>
          <w:p w:rsidR="00551012" w:rsidRPr="008F2618" w:rsidRDefault="00551012" w:rsidP="00BA0A24">
            <w:pPr>
              <w:rPr>
                <w:rFonts w:asciiTheme="minorHAnsi" w:hAnsiTheme="minorHAnsi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</w:tbl>
    <w:p w:rsidR="00885137" w:rsidRPr="00484A2D" w:rsidRDefault="00885137" w:rsidP="00484A2D">
      <w:pPr>
        <w:spacing w:line="360" w:lineRule="auto"/>
        <w:rPr>
          <w:rFonts w:asciiTheme="majorHAnsi" w:hAnsiTheme="majorHAnsi" w:cs="Arial"/>
        </w:rPr>
      </w:pPr>
    </w:p>
    <w:sectPr w:rsidR="00885137" w:rsidRPr="00484A2D" w:rsidSect="00484A2D">
      <w:headerReference w:type="default" r:id="rId9"/>
      <w:footerReference w:type="default" r:id="rId10"/>
      <w:pgSz w:w="11906" w:h="16838"/>
      <w:pgMar w:top="720" w:right="720" w:bottom="720" w:left="720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DD" w:rsidRDefault="005B0BDD" w:rsidP="00EA7C5E">
      <w:r>
        <w:separator/>
      </w:r>
    </w:p>
  </w:endnote>
  <w:endnote w:type="continuationSeparator" w:id="0">
    <w:p w:rsidR="005B0BDD" w:rsidRDefault="005B0BDD" w:rsidP="00EA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0A" w:rsidRPr="00673D9B" w:rsidRDefault="00673D9B" w:rsidP="00833E0A">
    <w:pPr>
      <w:ind w:left="-567"/>
      <w:jc w:val="center"/>
      <w:rPr>
        <w:rFonts w:asciiTheme="minorHAnsi" w:hAnsiTheme="minorHAnsi" w:cs="Arial"/>
        <w:b/>
        <w:color w:val="808080" w:themeColor="background1" w:themeShade="80"/>
        <w:sz w:val="22"/>
        <w:szCs w:val="22"/>
        <w:lang w:val="en-US"/>
      </w:rPr>
    </w:pPr>
    <w:r>
      <w:rPr>
        <w:rFonts w:asciiTheme="minorHAnsi" w:hAnsiTheme="minorHAnsi" w:cs="Arial"/>
        <w:b/>
        <w:noProof/>
        <w:color w:val="FFFFFF" w:themeColor="background1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BB135" wp14:editId="6BDA2F51">
              <wp:simplePos x="0" y="0"/>
              <wp:positionH relativeFrom="column">
                <wp:posOffset>-318135</wp:posOffset>
              </wp:positionH>
              <wp:positionV relativeFrom="paragraph">
                <wp:posOffset>-138430</wp:posOffset>
              </wp:positionV>
              <wp:extent cx="7554595" cy="0"/>
              <wp:effectExtent l="57150" t="19050" r="46355" b="1333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4595" cy="0"/>
                      </a:xfrm>
                      <a:prstGeom prst="line">
                        <a:avLst/>
                      </a:prstGeom>
                      <a:ln w="31750"/>
                      <a:effectLst>
                        <a:outerShdw blurRad="50800" dist="50800" dir="5400000" algn="ctr" rotWithShape="0">
                          <a:srgbClr val="FFFF00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-10.9pt" to="569.8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" strokecolor="#4579b8 [3044]" strokeweight="2.5pt">
              <v:shadow on="t" color="yellow" offset="0,4pt"/>
            </v:line>
          </w:pict>
        </mc:Fallback>
      </mc:AlternateContent>
    </w:r>
    <w:r>
      <w:rPr>
        <w:rFonts w:asciiTheme="minorHAnsi" w:hAnsiTheme="minorHAnsi" w:cs="Arial"/>
        <w:b/>
        <w:color w:val="808080" w:themeColor="background1" w:themeShade="80"/>
        <w:sz w:val="22"/>
        <w:szCs w:val="22"/>
        <w:lang w:val="en-US"/>
      </w:rPr>
      <w:t>WWW.PROFDIALOG.ORG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DD" w:rsidRDefault="005B0BDD" w:rsidP="00EA7C5E">
      <w:r>
        <w:separator/>
      </w:r>
    </w:p>
  </w:footnote>
  <w:footnote w:type="continuationSeparator" w:id="0">
    <w:p w:rsidR="005B0BDD" w:rsidRDefault="005B0BDD" w:rsidP="00EA7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3"/>
      <w:gridCol w:w="6025"/>
    </w:tblGrid>
    <w:tr w:rsidR="00673D9B" w:rsidTr="00673D9B">
      <w:tc>
        <w:tcPr>
          <w:tcW w:w="5423" w:type="dxa"/>
        </w:tcPr>
        <w:p w:rsidR="00673D9B" w:rsidRDefault="00673D9B" w:rsidP="00673D9B">
          <w:pPr>
            <w:pStyle w:val="a5"/>
            <w:tabs>
              <w:tab w:val="clear" w:pos="4677"/>
              <w:tab w:val="clear" w:pos="9355"/>
              <w:tab w:val="left" w:pos="2775"/>
            </w:tabs>
          </w:pPr>
          <w:r>
            <w:rPr>
              <w:noProof/>
              <w:lang w:val="en-US"/>
            </w:rPr>
            <w:drawing>
              <wp:inline distT="0" distB="0" distL="0" distR="0" wp14:anchorId="5785B1E0" wp14:editId="3F05D18A">
                <wp:extent cx="3248025" cy="78177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3344" cy="783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</w:tcPr>
        <w:p w:rsidR="00673D9B" w:rsidRDefault="00673D9B" w:rsidP="00673D9B">
          <w:pPr>
            <w:ind w:left="-567"/>
            <w:jc w:val="right"/>
            <w:rPr>
              <w:rFonts w:ascii="Arial" w:hAnsi="Arial" w:cs="Arial"/>
              <w:color w:val="808080" w:themeColor="background1" w:themeShade="80"/>
              <w:sz w:val="22"/>
              <w:szCs w:val="22"/>
            </w:rPr>
          </w:pPr>
        </w:p>
        <w:p w:rsidR="00673D9B" w:rsidRPr="00673D9B" w:rsidRDefault="00673D9B" w:rsidP="00673D9B">
          <w:pPr>
            <w:ind w:left="-567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73D9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119034 Россия, </w:t>
          </w:r>
          <w:r w:rsidRPr="00673D9B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M</w:t>
          </w:r>
          <w:proofErr w:type="spellStart"/>
          <w:r w:rsidRPr="00673D9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осква</w:t>
          </w:r>
          <w:proofErr w:type="spellEnd"/>
          <w:r w:rsidRPr="00673D9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, ул. Тимура Фрунзе, 16 – 3</w:t>
          </w:r>
        </w:p>
        <w:p w:rsidR="00673D9B" w:rsidRDefault="00673D9B" w:rsidP="00673D9B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73D9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+7 (495) 620 59 63</w:t>
          </w:r>
        </w:p>
        <w:p w:rsidR="00673D9B" w:rsidRPr="00673D9B" w:rsidRDefault="00673D9B" w:rsidP="00673D9B">
          <w:pPr>
            <w:jc w:val="right"/>
            <w:rPr>
              <w:lang w:val="en-US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info@profdialog.org</w:t>
          </w:r>
        </w:p>
      </w:tc>
    </w:tr>
  </w:tbl>
  <w:p w:rsidR="00EA7C5E" w:rsidRDefault="00EA7C5E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47BF0" wp14:editId="27539A1A">
              <wp:simplePos x="0" y="0"/>
              <wp:positionH relativeFrom="column">
                <wp:posOffset>-270510</wp:posOffset>
              </wp:positionH>
              <wp:positionV relativeFrom="paragraph">
                <wp:posOffset>81008</wp:posOffset>
              </wp:positionV>
              <wp:extent cx="7554595" cy="1"/>
              <wp:effectExtent l="57150" t="38100" r="46355" b="952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4595" cy="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3pt,6.4pt" to="573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924"/>
    <w:multiLevelType w:val="hybridMultilevel"/>
    <w:tmpl w:val="97FAC95E"/>
    <w:lvl w:ilvl="0" w:tplc="D3C276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750BB9"/>
    <w:multiLevelType w:val="hybridMultilevel"/>
    <w:tmpl w:val="DBB42F8C"/>
    <w:lvl w:ilvl="0" w:tplc="7368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6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E9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C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88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68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1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EE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0C5370"/>
    <w:multiLevelType w:val="hybridMultilevel"/>
    <w:tmpl w:val="7BEED866"/>
    <w:lvl w:ilvl="0" w:tplc="458A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C76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0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2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4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CC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E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4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C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E74529"/>
    <w:multiLevelType w:val="hybridMultilevel"/>
    <w:tmpl w:val="E5DE1F04"/>
    <w:lvl w:ilvl="0" w:tplc="28300A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6E57772"/>
    <w:multiLevelType w:val="hybridMultilevel"/>
    <w:tmpl w:val="4C34E49E"/>
    <w:lvl w:ilvl="0" w:tplc="1464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A2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0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4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8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2A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6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E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73721B"/>
    <w:multiLevelType w:val="hybridMultilevel"/>
    <w:tmpl w:val="87A41F00"/>
    <w:lvl w:ilvl="0" w:tplc="8AD44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4B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A8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4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2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8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4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0C7511"/>
    <w:multiLevelType w:val="hybridMultilevel"/>
    <w:tmpl w:val="A95EEF5C"/>
    <w:lvl w:ilvl="0" w:tplc="2BC2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602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C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2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A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8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2D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4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0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DD75BB"/>
    <w:multiLevelType w:val="hybridMultilevel"/>
    <w:tmpl w:val="A334A146"/>
    <w:lvl w:ilvl="0" w:tplc="72A6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04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AF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E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8D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4E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8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5E"/>
    <w:rsid w:val="000104A1"/>
    <w:rsid w:val="00171553"/>
    <w:rsid w:val="00262B8E"/>
    <w:rsid w:val="0037207C"/>
    <w:rsid w:val="003D5930"/>
    <w:rsid w:val="003F4312"/>
    <w:rsid w:val="0048350E"/>
    <w:rsid w:val="00484A2D"/>
    <w:rsid w:val="00490FF8"/>
    <w:rsid w:val="004A4C2E"/>
    <w:rsid w:val="004B3DF2"/>
    <w:rsid w:val="004E03E6"/>
    <w:rsid w:val="005002C9"/>
    <w:rsid w:val="005019CD"/>
    <w:rsid w:val="00502EC5"/>
    <w:rsid w:val="00551012"/>
    <w:rsid w:val="005B0BDD"/>
    <w:rsid w:val="00673D9B"/>
    <w:rsid w:val="00686746"/>
    <w:rsid w:val="00696C60"/>
    <w:rsid w:val="006A2614"/>
    <w:rsid w:val="00791AA0"/>
    <w:rsid w:val="00817FFB"/>
    <w:rsid w:val="00833E0A"/>
    <w:rsid w:val="00876BF0"/>
    <w:rsid w:val="00885137"/>
    <w:rsid w:val="00893437"/>
    <w:rsid w:val="008F2618"/>
    <w:rsid w:val="00AD7329"/>
    <w:rsid w:val="00BD6691"/>
    <w:rsid w:val="00C03549"/>
    <w:rsid w:val="00C43EB2"/>
    <w:rsid w:val="00C70B61"/>
    <w:rsid w:val="00D17316"/>
    <w:rsid w:val="00E44932"/>
    <w:rsid w:val="00E96F58"/>
    <w:rsid w:val="00EA7C5E"/>
    <w:rsid w:val="00F01E92"/>
    <w:rsid w:val="00F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5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A7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C5E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EA7C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C5E"/>
    <w:rPr>
      <w:sz w:val="24"/>
      <w:szCs w:val="24"/>
      <w:lang w:eastAsia="en-US"/>
    </w:rPr>
  </w:style>
  <w:style w:type="character" w:styleId="a9">
    <w:name w:val="Hyperlink"/>
    <w:unhideWhenUsed/>
    <w:rsid w:val="00673D9B"/>
    <w:rPr>
      <w:color w:val="0000FF"/>
      <w:u w:val="single"/>
    </w:rPr>
  </w:style>
  <w:style w:type="table" w:styleId="aa">
    <w:name w:val="Table Grid"/>
    <w:basedOn w:val="a1"/>
    <w:uiPriority w:val="59"/>
    <w:rsid w:val="0067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019C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96C60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5510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1012"/>
    <w:rPr>
      <w:rFonts w:eastAsia="SimSun"/>
      <w:sz w:val="20"/>
      <w:szCs w:val="20"/>
      <w:lang w:val="en-US" w:eastAsia="zh-CN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551012"/>
    <w:rPr>
      <w:rFonts w:eastAsia="SimSun"/>
      <w:lang w:val="en-US" w:eastAsia="zh-CN"/>
    </w:rPr>
  </w:style>
  <w:style w:type="character" w:customStyle="1" w:styleId="hps">
    <w:name w:val="hps"/>
    <w:basedOn w:val="a0"/>
    <w:rsid w:val="005002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5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A7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C5E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EA7C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C5E"/>
    <w:rPr>
      <w:sz w:val="24"/>
      <w:szCs w:val="24"/>
      <w:lang w:eastAsia="en-US"/>
    </w:rPr>
  </w:style>
  <w:style w:type="character" w:styleId="a9">
    <w:name w:val="Hyperlink"/>
    <w:unhideWhenUsed/>
    <w:rsid w:val="00673D9B"/>
    <w:rPr>
      <w:color w:val="0000FF"/>
      <w:u w:val="single"/>
    </w:rPr>
  </w:style>
  <w:style w:type="table" w:styleId="aa">
    <w:name w:val="Table Grid"/>
    <w:basedOn w:val="a1"/>
    <w:uiPriority w:val="59"/>
    <w:rsid w:val="0067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019C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96C60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5510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1012"/>
    <w:rPr>
      <w:rFonts w:eastAsia="SimSun"/>
      <w:sz w:val="20"/>
      <w:szCs w:val="20"/>
      <w:lang w:val="en-US" w:eastAsia="zh-CN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551012"/>
    <w:rPr>
      <w:rFonts w:eastAsia="SimSun"/>
      <w:lang w:val="en-US" w:eastAsia="zh-CN"/>
    </w:rPr>
  </w:style>
  <w:style w:type="character" w:customStyle="1" w:styleId="hps">
    <w:name w:val="hps"/>
    <w:basedOn w:val="a0"/>
    <w:rsid w:val="0050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510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9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7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9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6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7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3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Теньковская</cp:lastModifiedBy>
  <cp:revision>2</cp:revision>
  <cp:lastPrinted>2013-01-17T06:07:00Z</cp:lastPrinted>
  <dcterms:created xsi:type="dcterms:W3CDTF">2015-02-13T11:01:00Z</dcterms:created>
  <dcterms:modified xsi:type="dcterms:W3CDTF">2015-02-13T11:01:00Z</dcterms:modified>
</cp:coreProperties>
</file>